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佳米艾家居（广东）股份有限公司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A8E3EB3"/>
    <w:rsid w:val="2DC70C30"/>
    <w:rsid w:val="2F413F15"/>
    <w:rsid w:val="31600ED9"/>
    <w:rsid w:val="350F58EE"/>
    <w:rsid w:val="3A1A5706"/>
    <w:rsid w:val="51874595"/>
    <w:rsid w:val="5F2240E3"/>
    <w:rsid w:val="64DD5BB3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556</Words>
  <Characters>556</Characters>
  <Lines>6</Lines>
  <Paragraphs>1</Paragraphs>
  <TotalTime>2</TotalTime>
  <ScaleCrop>false</ScaleCrop>
  <LinksUpToDate>false</LinksUpToDate>
  <CharactersWithSpaces>783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公司事务部</cp:lastModifiedBy>
  <dcterms:modified xsi:type="dcterms:W3CDTF">2024-12-31T07:52:46Z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CC6202FBD81240DFB3E7F22743F04053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