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佳米艾家居（广东）股份有限公司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82F51D6"/>
    <w:rsid w:val="0C7D22A4"/>
    <w:rsid w:val="100F3919"/>
    <w:rsid w:val="12AC0688"/>
    <w:rsid w:val="17FE46BD"/>
    <w:rsid w:val="24641A52"/>
    <w:rsid w:val="424220CA"/>
    <w:rsid w:val="4E1B235B"/>
    <w:rsid w:val="50E32CCE"/>
    <w:rsid w:val="568D27BB"/>
    <w:rsid w:val="5D6D1CF6"/>
    <w:rsid w:val="5EFFEEB6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420</Words>
  <Characters>428</Characters>
  <Lines>5</Lines>
  <Paragraphs>1</Paragraphs>
  <TotalTime>2</TotalTime>
  <ScaleCrop>false</ScaleCrop>
  <LinksUpToDate>false</LinksUpToDate>
  <CharactersWithSpaces>740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公司事务部</cp:lastModifiedBy>
  <cp:lastPrinted>2008-03-03T15:05:00Z</cp:lastPrinted>
  <dcterms:modified xsi:type="dcterms:W3CDTF">2024-12-31T07:52:47Z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BB785D428C724A9ABC25368A542671E0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